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4f81bd" w:space="4" w:sz="8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PROGRAMA DE ASIGNATURA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4f81bd" w:space="4" w:sz="8" w:val="single"/>
          <w:right w:space="0" w:sz="0" w:val="nil"/>
          <w:between w:space="0" w:sz="0" w:val="nil"/>
        </w:pBdr>
        <w:shd w:fill="auto" w:val="clear"/>
        <w:spacing w:after="3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Taller de Moda y Gestión </w:t>
      </w:r>
      <w:r w:rsidDel="00000000" w:rsidR="00000000" w:rsidRPr="00000000">
        <w:rPr>
          <w:sz w:val="48"/>
          <w:szCs w:val="48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right"/>
        <w:rPr>
          <w:b w:val="1"/>
          <w:i w:val="1"/>
          <w:sz w:val="17"/>
          <w:szCs w:val="17"/>
          <w:highlight w:val="white"/>
        </w:rPr>
      </w:pPr>
      <w:r w:rsidDel="00000000" w:rsidR="00000000" w:rsidRPr="00000000">
        <w:rPr>
          <w:b w:val="1"/>
          <w:i w:val="1"/>
          <w:sz w:val="17"/>
          <w:szCs w:val="17"/>
          <w:highlight w:val="white"/>
          <w:rtl w:val="0"/>
        </w:rPr>
        <w:t xml:space="preserve"> Diseño de Colección de Alta Costura-Neo Couture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u w:val="none"/>
          <w:shd w:fill="auto" w:val="clear"/>
          <w:vertAlign w:val="baseline"/>
          <w:rtl w:val="0"/>
        </w:rPr>
        <w:t xml:space="preserve">A. Antecedentes Generales </w:t>
      </w:r>
    </w:p>
    <w:tbl>
      <w:tblPr>
        <w:tblStyle w:val="Table1"/>
        <w:tblW w:w="9270.0" w:type="dxa"/>
        <w:jc w:val="left"/>
        <w:tblInd w:w="-6.999999999999993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240"/>
        <w:gridCol w:w="546"/>
        <w:gridCol w:w="1254"/>
        <w:gridCol w:w="540"/>
        <w:gridCol w:w="1260"/>
        <w:gridCol w:w="450"/>
        <w:gridCol w:w="1980"/>
        <w:tblGridChange w:id="0">
          <w:tblGrid>
            <w:gridCol w:w="3240"/>
            <w:gridCol w:w="546"/>
            <w:gridCol w:w="1254"/>
            <w:gridCol w:w="540"/>
            <w:gridCol w:w="1260"/>
            <w:gridCol w:w="450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 Académica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Facultad de Diseño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Carrera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Diseño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Código de la asignatura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Ubicación en la malla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7º semestre, 4º 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Créditos</w:t>
            </w:r>
          </w:p>
        </w:tc>
        <w:tc>
          <w:tcPr>
            <w:tcBorders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5"/>
            <w:tcBorders>
              <w:lef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de asignatura</w:t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lef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Obligatorio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Electivo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Optativo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Duración</w:t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Bimestral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Semestral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Módulos semanales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Teóricos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Prácticos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Ayudantía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Horas académicas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136 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Hrs. de Clase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Hrs. de Ayudantía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Pre-requisito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Taller de Moda y Gestión III</w:t>
            </w:r>
          </w:p>
          <w:p w:rsidR="00000000" w:rsidDel="00000000" w:rsidP="00000000" w:rsidRDefault="00000000" w:rsidRPr="00000000" w14:paraId="0000004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Taller de Moda y Gestión IV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Competencias de la Asignatura</w:t>
      </w:r>
    </w:p>
    <w:tbl>
      <w:tblPr>
        <w:tblStyle w:val="Table2"/>
        <w:tblW w:w="9270.0" w:type="dxa"/>
        <w:jc w:val="left"/>
        <w:tblInd w:w="-6.999999999999993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50"/>
        <w:gridCol w:w="1558"/>
        <w:gridCol w:w="425"/>
        <w:gridCol w:w="1559"/>
        <w:gridCol w:w="425"/>
        <w:gridCol w:w="1843"/>
        <w:gridCol w:w="425"/>
        <w:gridCol w:w="2585"/>
        <w:tblGridChange w:id="0">
          <w:tblGrid>
            <w:gridCol w:w="450"/>
            <w:gridCol w:w="1558"/>
            <w:gridCol w:w="425"/>
            <w:gridCol w:w="1559"/>
            <w:gridCol w:w="425"/>
            <w:gridCol w:w="1843"/>
            <w:gridCol w:w="425"/>
            <w:gridCol w:w="258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COMPETENCIAS</w:t>
              <w:br w:type="textWrapping"/>
              <w:t xml:space="preserve">GENÉRICAS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COMPETENCIAS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INNOVACIÓN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COMPETENCIAS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INVESTIGACIÓN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COMPETENCIAS</w:t>
              <w:br w:type="textWrapping"/>
              <w:t xml:space="preserve">TECNOLÓGICAS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Ética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Creatividad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Observación y conceptualización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Representación y visualización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Emprendimiento y liderazgo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Empatía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Dominio de Herramientas Metodológicas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Dominio de Herramientas Tecnológicas y Procesos de Producción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Responsabilidad pública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Trabajo en equipo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Jerarquización de la información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Dominio y uso de materiales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Autonomía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Persuasión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Juicio crítico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Eficiencia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Pensamiento estratégico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Visión global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Visión analítica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Comunicación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u w:val="none"/>
          <w:shd w:fill="auto" w:val="clear"/>
          <w:vertAlign w:val="baseline"/>
          <w:rtl w:val="0"/>
        </w:rPr>
        <w:t xml:space="preserve">B. Aporte al Perfil de Egreso</w:t>
      </w:r>
    </w:p>
    <w:p w:rsidR="00000000" w:rsidDel="00000000" w:rsidP="00000000" w:rsidRDefault="00000000" w:rsidRPr="00000000" w14:paraId="00000099">
      <w:pPr>
        <w:pageBreakBefore w:val="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jc w:val="both"/>
        <w:rPr>
          <w:sz w:val="18"/>
          <w:szCs w:val="18"/>
          <w:highlight w:val="white"/>
          <w:u w:val="singl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Asignatura proyectual que ejercita los fundamentos comunicacionales y productivos del Diseño de Moda, desde un enfoque autoral y de producción hecha a medida, para su aplicación concreta en el desarrollo de una </w:t>
      </w:r>
      <w:r w:rsidDel="00000000" w:rsidR="00000000" w:rsidRPr="00000000">
        <w:rPr>
          <w:sz w:val="18"/>
          <w:szCs w:val="18"/>
          <w:highlight w:val="white"/>
          <w:u w:val="single"/>
          <w:rtl w:val="0"/>
        </w:rPr>
        <w:t xml:space="preserve">Colección de indumentaria de Alta Costura orientada al mercado del lujo.</w:t>
      </w:r>
    </w:p>
    <w:p w:rsidR="00000000" w:rsidDel="00000000" w:rsidP="00000000" w:rsidRDefault="00000000" w:rsidRPr="00000000" w14:paraId="0000009B">
      <w:pPr>
        <w:pageBreakBefore w:val="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La modalidad del Taller Moda y Gestión V considera dos módulos teóricos y dos módulos prácticos.</w:t>
      </w:r>
    </w:p>
    <w:p w:rsidR="00000000" w:rsidDel="00000000" w:rsidP="00000000" w:rsidRDefault="00000000" w:rsidRPr="00000000" w14:paraId="0000009C">
      <w:pPr>
        <w:pageBreakBefore w:val="0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Módulo Teórico: </w:t>
      </w:r>
    </w:p>
    <w:p w:rsidR="00000000" w:rsidDel="00000000" w:rsidP="00000000" w:rsidRDefault="00000000" w:rsidRPr="00000000" w14:paraId="0000009D">
      <w:pPr>
        <w:pageBreakBefore w:val="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En una primera etapa ejercita en el alumno el proceso de investigación, promoviendo el uso de herramientas metodológicas tales como Trend Watching, Trend Forecaster, Customer Experience y Cool Hunting, para el establecimiento de una metodología proyectual vinculada a la industria del lujo.</w:t>
      </w:r>
    </w:p>
    <w:p w:rsidR="00000000" w:rsidDel="00000000" w:rsidP="00000000" w:rsidRDefault="00000000" w:rsidRPr="00000000" w14:paraId="0000009E">
      <w:pPr>
        <w:pageBreakBefore w:val="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En una segunda etapa y por medio del “Aprendizaje basado en Proyectos”, el alumno identificará y caracterizará a su usuario y/o público objetivo para la proyectación de la colección de indumentaria, la cual deberá ser acompañada de una estrategia comunicacional persuasiva de marketing considerando la </w:t>
      </w:r>
      <w:r w:rsidDel="00000000" w:rsidR="00000000" w:rsidRPr="00000000">
        <w:rPr>
          <w:sz w:val="18"/>
          <w:szCs w:val="18"/>
          <w:highlight w:val="white"/>
          <w:u w:val="single"/>
          <w:rtl w:val="0"/>
        </w:rPr>
        <w:t xml:space="preserve">realización de una campaña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, promoviendo la ejercitación de conocimientos referidos a la ideación, gestión y producción de moda, desde su concepción hasta su ejecución, considerando las acciones de planificación, difusión, RR.PP, administración de recursos, logística, diseño de experiencia y difusión. </w:t>
      </w:r>
    </w:p>
    <w:p w:rsidR="00000000" w:rsidDel="00000000" w:rsidP="00000000" w:rsidRDefault="00000000" w:rsidRPr="00000000" w14:paraId="0000009F">
      <w:pPr>
        <w:pageBreakBefore w:val="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Módulo Práctico: </w:t>
      </w:r>
    </w:p>
    <w:p w:rsidR="00000000" w:rsidDel="00000000" w:rsidP="00000000" w:rsidRDefault="00000000" w:rsidRPr="00000000" w14:paraId="000000A1">
      <w:pPr>
        <w:pageBreakBefore w:val="0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Módulo práctico que ejercita en el alumno conocimientos técnicos aplicados al diseño de indumentaria, complementando los saberes adquiridos en el módulo teórico del Taller. Promueve la aplicación, exploración e intervención textil con diversos procesos y técnicas para crear piezas de alta costura tales como la técnica del moulage, aplicación de bordados, pedrería, drapeado, fruncido, plisado y tela sobre tela directamente al maniquí, para la creación y transformación autoral de moldes para la confección de piezas de indumentaria de lujo para adultos.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Asimismo, la asignatura fomenta la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proyectación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exploratoria sostenible e incorporación de nuevas tecnologías, centradas en el usuario y la elaboración de procesos productivos sustentables referidos a la selección de materiales e insumos de larga data para la producción de prendas hechas a medida. </w:t>
      </w:r>
    </w:p>
    <w:p w:rsidR="00000000" w:rsidDel="00000000" w:rsidP="00000000" w:rsidRDefault="00000000" w:rsidRPr="00000000" w14:paraId="000000A3">
      <w:pPr>
        <w:pageBreakBefore w:val="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Al finalizar la asignatura, el alumno deberá haber desarrollado una colección de indumentaria de Alta Costura o  Neo Couture para ser presentada en el desfile anual</w:t>
      </w:r>
      <w:r w:rsidDel="00000000" w:rsidR="00000000" w:rsidRPr="00000000">
        <w:rPr>
          <w:sz w:val="18"/>
          <w:szCs w:val="18"/>
          <w:highlight w:val="white"/>
          <w:u w:val="single"/>
          <w:rtl w:val="0"/>
        </w:rPr>
        <w:t xml:space="preserve">, constituyéndose como la instancia evaluativa de final de semestre. 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A6">
      <w:pPr>
        <w:pageBreakBefore w:val="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jc w:val="both"/>
        <w:rPr>
          <w:b w:val="1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 dicta en el ciclo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Licenciatura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pertenece a la línea '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Proyectual'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y aporta en el desarrollo de las competencias:</w:t>
      </w:r>
      <w:r w:rsidDel="00000000" w:rsidR="00000000" w:rsidRPr="00000000">
        <w:rPr>
          <w:b w:val="1"/>
          <w:sz w:val="20"/>
          <w:szCs w:val="20"/>
          <w:rtl w:val="0"/>
        </w:rPr>
        <w:t xml:space="preserve"> Responsabilidad Pública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, V</w:t>
      </w:r>
      <w:r w:rsidDel="00000000" w:rsidR="00000000" w:rsidRPr="00000000">
        <w:rPr>
          <w:b w:val="1"/>
          <w:sz w:val="20"/>
          <w:szCs w:val="20"/>
          <w:rtl w:val="0"/>
        </w:rPr>
        <w:t xml:space="preserve">isión Global, Empatía, Trabajo en Equipo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Pensamiento Estratégico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y </w:t>
      </w:r>
      <w:r w:rsidDel="00000000" w:rsidR="00000000" w:rsidRPr="00000000">
        <w:rPr>
          <w:b w:val="1"/>
          <w:sz w:val="20"/>
          <w:szCs w:val="20"/>
          <w:rtl w:val="0"/>
        </w:rPr>
        <w:t xml:space="preserve">Observación y Conceptualización.</w:t>
      </w:r>
    </w:p>
    <w:p w:rsidR="00000000" w:rsidDel="00000000" w:rsidP="00000000" w:rsidRDefault="00000000" w:rsidRPr="00000000" w14:paraId="000000A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highlight w:val="white"/>
          <w:u w:val="none"/>
          <w:vertAlign w:val="baseline"/>
          <w:rtl w:val="0"/>
        </w:rPr>
        <w:t xml:space="preserve">C. Competencias y Resultados de Aprendizaje que desarrolla la asignatura </w:t>
      </w:r>
    </w:p>
    <w:tbl>
      <w:tblPr>
        <w:tblStyle w:val="Table3"/>
        <w:tblW w:w="9356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2"/>
        <w:gridCol w:w="6664"/>
        <w:tblGridChange w:id="0">
          <w:tblGrid>
            <w:gridCol w:w="2692"/>
            <w:gridCol w:w="6664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COMPETENCIAS GENÉRICAS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RESULTADOS DE APRENDIZAJE GENERALES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Responsabilidad Pública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Visión Global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Detecta oportunidades de diseño y elabora propuestas de mediana complejidad que permiten mejorar la calidad de vida de los usuarios involucrados, evaluando el potencial impacto negativo de su accionar.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Integra estratégicamente información teórica y empírica recabada, para el análisis de los fenómenos sociopolíticos, culturales, económicos y tecnológicos que argumentan decisiones del proceso creativo.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COMPETENCIAS ESPECÍFICAS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RESULTADOS DE APRENDIZAJE GENERALES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Empatía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Trabajo en Equipo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Pensamiento Estratégico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Observación y Conceptualización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spacing w:line="240" w:lineRule="auto"/>
              <w:ind w:left="3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Identifica, caracteriza y detecta las necesidades del usuario mediante el uso de diversas técnicas de observación y herramientas de análisis cuantitativas y cualitativas.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Establece un plan de trabajo, considerando tareas colectivas para el logro de los objetivos propuestos.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Elabora propuestas de colecciones,  conceptuales y formales coherentes al análisis diagnóstico realizado a través de diversos recursos metodológicos.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Complementa estratégicamente la representación de los aspectos formales, funcionales y simbólicos del proyecto, por medio de herramientas de proyectación y visualización técnico-constructivas.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highlight w:val="yellow"/>
          <w:u w:val="none"/>
          <w:vertAlign w:val="baseline"/>
          <w:rtl w:val="0"/>
        </w:rPr>
        <w:t xml:space="preserve">D.  Unidades de Contenidos  y Resultados de Aprendizaje</w:t>
      </w:r>
    </w:p>
    <w:tbl>
      <w:tblPr>
        <w:tblStyle w:val="Table4"/>
        <w:tblW w:w="9661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58"/>
        <w:gridCol w:w="1843"/>
        <w:gridCol w:w="3260"/>
        <w:tblGridChange w:id="0">
          <w:tblGrid>
            <w:gridCol w:w="4558"/>
            <w:gridCol w:w="1843"/>
            <w:gridCol w:w="32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F">
            <w:pPr>
              <w:pageBreakBefore w:val="0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UNIDADES DE CONTENIDOS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0">
            <w:pPr>
              <w:pageBreakBefore w:val="0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COMPETENCIA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1">
            <w:pPr>
              <w:pageBreakBefore w:val="0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RESULTADOS DE APRENDIZAJE</w:t>
            </w:r>
          </w:p>
        </w:tc>
      </w:tr>
      <w:tr>
        <w:trPr>
          <w:cantSplit w:val="0"/>
          <w:trHeight w:val="132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pageBreakBefore w:val="0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UNIDAD 1: </w:t>
            </w:r>
          </w:p>
          <w:p w:rsidR="00000000" w:rsidDel="00000000" w:rsidP="00000000" w:rsidRDefault="00000000" w:rsidRPr="00000000" w14:paraId="000000C3">
            <w:pPr>
              <w:pageBreakBefore w:val="0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XXXXXXXXX</w:t>
            </w:r>
          </w:p>
          <w:p w:rsidR="00000000" w:rsidDel="00000000" w:rsidP="00000000" w:rsidRDefault="00000000" w:rsidRPr="00000000" w14:paraId="000000C4">
            <w:pPr>
              <w:pageBreakBefore w:val="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1.1 xxxxxx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xxxxxxxxxxxxxxxxxxxxxxxxxxxxxx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pageBreakBefore w:val="0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UNIDAD 2: </w:t>
            </w:r>
          </w:p>
          <w:p w:rsidR="00000000" w:rsidDel="00000000" w:rsidP="00000000" w:rsidRDefault="00000000" w:rsidRPr="00000000" w14:paraId="000000C9">
            <w:pPr>
              <w:pageBreakBefore w:val="0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XXXXXXXXX</w:t>
            </w:r>
          </w:p>
          <w:p w:rsidR="00000000" w:rsidDel="00000000" w:rsidP="00000000" w:rsidRDefault="00000000" w:rsidRPr="00000000" w14:paraId="000000CA">
            <w:pPr>
              <w:pageBreakBefore w:val="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1.1 xxxxxx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ageBreakBefore w:val="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xxxxxxxxxxxxxxxxxxxxxxxxxxxxxxx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pageBreakBefore w:val="0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UNIDAD 3: </w:t>
            </w:r>
          </w:p>
          <w:p w:rsidR="00000000" w:rsidDel="00000000" w:rsidP="00000000" w:rsidRDefault="00000000" w:rsidRPr="00000000" w14:paraId="000000D1">
            <w:pPr>
              <w:pageBreakBefore w:val="0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XXXXXXXXX</w:t>
            </w:r>
          </w:p>
          <w:p w:rsidR="00000000" w:rsidDel="00000000" w:rsidP="00000000" w:rsidRDefault="00000000" w:rsidRPr="00000000" w14:paraId="000000D2">
            <w:pPr>
              <w:pageBreakBefore w:val="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1.1 xxxxxx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ageBreakBefore w:val="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ageBreakBefore w:val="0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xxxxxxxxxxxxxxxxxxxxxxxxxxxx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keepNext w:val="1"/>
        <w:keepLines w:val="1"/>
        <w:pageBreakBefore w:val="0"/>
        <w:spacing w:before="480" w:lineRule="auto"/>
        <w:rPr>
          <w:b w:val="1"/>
          <w:color w:val="345a8a"/>
          <w:sz w:val="32"/>
          <w:szCs w:val="32"/>
        </w:rPr>
      </w:pPr>
      <w:r w:rsidDel="00000000" w:rsidR="00000000" w:rsidRPr="00000000">
        <w:rPr>
          <w:b w:val="1"/>
          <w:color w:val="345a8a"/>
          <w:sz w:val="32"/>
          <w:szCs w:val="32"/>
          <w:rtl w:val="0"/>
        </w:rPr>
        <w:t xml:space="preserve">E. Estrategias de Enseñanza</w:t>
      </w:r>
    </w:p>
    <w:p w:rsidR="00000000" w:rsidDel="00000000" w:rsidP="00000000" w:rsidRDefault="00000000" w:rsidRPr="00000000" w14:paraId="000000D8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la formación basada en competencias el proceso de enseñanza-aprendizaje se enfoca en el desarrollo de conocimientos, habilidades y destrezas, y en su aplicación para la resolución de problemas similares a los que un profesional debe enfrentar en el mundo del trabajo.</w:t>
      </w:r>
    </w:p>
    <w:p w:rsidR="00000000" w:rsidDel="00000000" w:rsidP="00000000" w:rsidRDefault="00000000" w:rsidRPr="00000000" w14:paraId="000000D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Requiere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Lograr profundidad en el conocimiento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Promover pensamiento de orden superior, como análisis, síntesis, aplicación, evaluación y resolución de problemas.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Diseñar experiencias de aprendizaje activo (práctico), contextualizado (enfrentar situaciones reales), social (en interacción con otros) y reflexivo (evaluar el propio aprendizaje y generar estrategias para mejorar).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Implementar estrategias de enseñanza variadas y auténticas (similares a las que se encuentran en el mundo del trabajo).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Diseño UDD ha definido un conjunto de estrategias de enseñanza que ofrecen una amplia gama de posibilidades para promover aprendizajes efectivos y relevantes en los estudiantes. </w:t>
      </w:r>
    </w:p>
    <w:p w:rsidR="00000000" w:rsidDel="00000000" w:rsidP="00000000" w:rsidRDefault="00000000" w:rsidRPr="00000000" w14:paraId="000000E0">
      <w:pPr>
        <w:pageBreakBefore w:val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Para esta asignatura se solicita priorizar las siguientes estrategias: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footerReference r:id="rId11" w:type="even"/>
          <w:pgSz w:h="15840" w:w="12240" w:orient="portrait"/>
          <w:pgMar w:bottom="1418" w:top="1418" w:left="1418" w:right="1418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Estudio de casos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</w:rPr>
        <w:sectPr>
          <w:type w:val="continuous"/>
          <w:pgSz w:h="15840" w:w="12240" w:orient="portrait"/>
          <w:pgMar w:bottom="1418" w:top="1418" w:left="1418" w:right="1418" w:header="720" w:footer="720"/>
          <w:cols w:equalWidth="0" w:num="2">
            <w:col w:space="709" w:w="4347.500000000001"/>
            <w:col w:space="0" w:w="4347.500000000001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Aprendizaje basado en proyectos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Y se sugieren las siguientes estrategias: </w:t>
      </w:r>
    </w:p>
    <w:p w:rsidR="00000000" w:rsidDel="00000000" w:rsidP="00000000" w:rsidRDefault="00000000" w:rsidRPr="00000000" w14:paraId="000000E6">
      <w:pPr>
        <w:pageBreakBefore w:val="0"/>
        <w:ind w:left="720" w:hanging="360"/>
        <w:rPr>
          <w:sz w:val="20"/>
          <w:szCs w:val="20"/>
        </w:rPr>
        <w:sectPr>
          <w:type w:val="continuous"/>
          <w:pgSz w:h="15840" w:w="12240" w:orient="portrait"/>
          <w:pgMar w:bottom="1418" w:top="1418" w:left="1418" w:right="1418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Clase expositiva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Esquemas y organizadores gráficos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Uso de imágenes y análisis formal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Discusión guiada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Salidas a terreno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Ejercicio práctico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Bitácora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Presentación oral y/o de proyectos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0"/>
          <w:szCs w:val="20"/>
        </w:rPr>
        <w:sectPr>
          <w:type w:val="continuous"/>
          <w:pgSz w:h="15840" w:w="12240" w:orient="portrait"/>
          <w:pgMar w:bottom="1418" w:top="1418" w:left="1418" w:right="1418" w:header="720" w:footer="720"/>
          <w:cols w:equalWidth="0" w:num="2">
            <w:col w:space="709" w:w="4347.500000000001"/>
            <w:col w:space="0" w:w="4347.500000000001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color w:val="345a8a"/>
          <w:sz w:val="32"/>
          <w:szCs w:val="32"/>
          <w:rtl w:val="0"/>
        </w:rPr>
        <w:t xml:space="preserve">F. Estrategias de Evaluación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jc w:val="both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La evaluación debe estar presente a lo largo de todo el semestre o bimestre, ya sea para identificar los conocimientos previos de los alumnos (evaluación diagnóstica), monitorear la efectividad del proceso de enseñanza-aprendizaje (evaluación formativa), verificar el nivel de logro de los resultados de aprendizaje y calificar el desempeño de los estudiantes (evaluación sumativa).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jc w:val="both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Los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procedimientos de evaluación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permiten evidenciar el desempeño de los alumnos a través de la elaboración de distintos tipos de documentos o productos (textos escritos, presentaciones orales, pruebas,  propuestas formales en soportes bi y tridimensionales, audiovisuales, desarrollo de proyectos, etc.).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El profesor debe privilegiar aquellos que permitan integrar conocimientos y aplicarlos en función de resolver situaciones auténticas (similares a las que aborda un diseñador profesional).</w:t>
      </w:r>
    </w:p>
    <w:p w:rsidR="00000000" w:rsidDel="00000000" w:rsidP="00000000" w:rsidRDefault="00000000" w:rsidRPr="00000000" w14:paraId="000000F4">
      <w:pPr>
        <w:pageBreakBefore w:val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 deben utilizar al menos 2 procedimientos de evaluación diferentes a lo largo del curso, de manera de abordar diferentes complejidades y profundidades de conocimiento.</w:t>
      </w:r>
    </w:p>
    <w:p w:rsidR="00000000" w:rsidDel="00000000" w:rsidP="00000000" w:rsidRDefault="00000000" w:rsidRPr="00000000" w14:paraId="000000F5">
      <w:pPr>
        <w:pageBreakBefore w:val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Los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instrumentos de evaluación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permiten analizar la producción de los alumnos, mediante criterios claros, transparentes y objetivos; verificar en qué medida se cumplen los resultados de aprendizaje y cuantificar el nivel de logro a través de un puntaje y una nota. Dependiendo del tipo de contenido, se sugiere utilizar: listas de cotejo, escala de valoración o rúbrica. El instrumento de evaluación debe ser entregado al alumno junto con los criterios de evaluación, a lo menos un mes antes de su aplicación.</w:t>
      </w:r>
    </w:p>
    <w:p w:rsidR="00000000" w:rsidDel="00000000" w:rsidP="00000000" w:rsidRDefault="00000000" w:rsidRPr="00000000" w14:paraId="000000F7">
      <w:pPr>
        <w:pageBreakBefore w:val="0"/>
        <w:spacing w:before="200" w:lineRule="auto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b w:val="1"/>
          <w:color w:val="4f81bd"/>
          <w:sz w:val="26"/>
          <w:szCs w:val="26"/>
          <w:rtl w:val="0"/>
        </w:rPr>
        <w:t xml:space="preserve">Instancias de evaluación: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 deberán realizar al menos 4 evaluaciones calificadas durante el semestre, que en su totalidad podrán: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Sumar el 100% de la Nota de Presentación a Examen, donde a su vez ésta equivaldrá al 70% de la nota final de la asignatura. Dejando 30% para el Examen 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Sumar el 70% como promedio de la asignatura previo al Examen, dejando 30% para el Examen 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Ninguna evaluación por sí sola podrá ponderar más del 25% de la nota total del curso.</w:t>
      </w:r>
    </w:p>
    <w:p w:rsidR="00000000" w:rsidDel="00000000" w:rsidP="00000000" w:rsidRDefault="00000000" w:rsidRPr="00000000" w14:paraId="000000FC">
      <w:pPr>
        <w:pageBreakBefore w:val="0"/>
        <w:spacing w:before="200" w:lineRule="auto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b w:val="1"/>
          <w:color w:val="4f81bd"/>
          <w:sz w:val="26"/>
          <w:szCs w:val="26"/>
          <w:rtl w:val="0"/>
        </w:rPr>
        <w:t xml:space="preserve">Examen Final: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jc w:val="both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 realizará un examen final, con una ponderación del 30% de la nota total del curso. La fecha de esta evaluación será fijada por el Calendario Académico de la Facultad de forma semestral.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 criterio de la Facultad de Diseño, se podrán establecer comisiones revisoras para calificar el examen final. En dicho caso, las calificaciones emitidas por estas comisiones equivaldrá al 70% de la nota del examen y el 30% restante será determinado por </w:t>
      </w:r>
      <w:r w:rsidDel="00000000" w:rsidR="00000000" w:rsidRPr="00000000">
        <w:rPr>
          <w:sz w:val="20"/>
          <w:szCs w:val="20"/>
          <w:rtl w:val="0"/>
        </w:rPr>
        <w:t xml:space="preserve">é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l o los profesores del curso.</w:t>
      </w:r>
    </w:p>
    <w:p w:rsidR="00000000" w:rsidDel="00000000" w:rsidP="00000000" w:rsidRDefault="00000000" w:rsidRPr="00000000" w14:paraId="000000FF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b w:val="1"/>
          <w:color w:val="345a8a"/>
          <w:sz w:val="32"/>
          <w:szCs w:val="32"/>
          <w:highlight w:val="white"/>
          <w:rtl w:val="0"/>
        </w:rPr>
        <w:t xml:space="preserve">G. Recursos de Aprendizaje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Bibliografía Obligatoria:</w:t>
      </w:r>
    </w:p>
    <w:p w:rsidR="00000000" w:rsidDel="00000000" w:rsidP="00000000" w:rsidRDefault="00000000" w:rsidRPr="00000000" w14:paraId="00000103">
      <w:pPr>
        <w:pageBreakBefore w:val="0"/>
        <w:widowControl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Ejemplo: Renfrew, C. Creación de una colección de moda. Barcelona: GG Moda, 2010.</w:t>
      </w:r>
    </w:p>
    <w:p w:rsidR="00000000" w:rsidDel="00000000" w:rsidP="00000000" w:rsidRDefault="00000000" w:rsidRPr="00000000" w14:paraId="00000104">
      <w:pPr>
        <w:pageBreakBefore w:val="0"/>
        <w:widowControl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Antonio Donnanno. </w:t>
      </w:r>
      <w:r w:rsidDel="00000000" w:rsidR="00000000" w:rsidRPr="00000000">
        <w:rPr>
          <w:sz w:val="20"/>
          <w:szCs w:val="20"/>
          <w:rtl w:val="0"/>
        </w:rPr>
        <w:t xml:space="preserve">Técnicas de Patronaje de Moda Alta Costura vol 1.  Promopress, 2017.</w:t>
      </w:r>
    </w:p>
    <w:p w:rsidR="00000000" w:rsidDel="00000000" w:rsidP="00000000" w:rsidRDefault="00000000" w:rsidRPr="00000000" w14:paraId="00000105">
      <w:pPr>
        <w:widowControl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Antonio Donnanno, Hoaki. Técnicas de Patronaje de Moda Alta Costura vol 2. Promopress, 2021.</w:t>
      </w:r>
    </w:p>
    <w:p w:rsidR="00000000" w:rsidDel="00000000" w:rsidP="00000000" w:rsidRDefault="00000000" w:rsidRPr="00000000" w14:paraId="00000106">
      <w:pPr>
        <w:pStyle w:val="Heading1"/>
        <w:keepNext w:val="0"/>
        <w:keepLines w:val="0"/>
        <w:widowControl w:val="0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308.5714285714286" w:lineRule="auto"/>
        <w:ind w:left="720" w:hanging="360"/>
        <w:rPr>
          <w:color w:val="000000"/>
          <w:sz w:val="20"/>
          <w:szCs w:val="20"/>
        </w:rPr>
      </w:pPr>
      <w:bookmarkStart w:colFirst="0" w:colLast="0" w:name="_heading=h.ocup06v6cb85" w:id="0"/>
      <w:bookmarkEnd w:id="0"/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Aneta</w:t>
      </w:r>
      <w:hyperlink r:id="rId12">
        <w:r w:rsidDel="00000000" w:rsidR="00000000" w:rsidRPr="00000000">
          <w:rPr>
            <w:b w:val="0"/>
            <w:color w:val="000000"/>
            <w:sz w:val="20"/>
            <w:szCs w:val="20"/>
            <w:rtl w:val="0"/>
          </w:rPr>
          <w:t xml:space="preserve"> Genova</w:t>
        </w:r>
      </w:hyperlink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,  Katherine Moriwak. </w:t>
      </w: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Fashion and Technology: A Guide to Materials and Applications. </w:t>
      </w: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Fairchild Books,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Bibliografía complementaria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Style w:val="Heading1"/>
        <w:keepNext w:val="0"/>
        <w:keepLines w:val="0"/>
        <w:widowControl w:val="0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308.5714285714286" w:lineRule="auto"/>
        <w:ind w:left="720" w:hanging="360"/>
        <w:rPr>
          <w:color w:val="000000"/>
          <w:sz w:val="20"/>
          <w:szCs w:val="20"/>
        </w:rPr>
      </w:pPr>
      <w:bookmarkStart w:colFirst="0" w:colLast="0" w:name="_heading=h.ousdfkd43bhp" w:id="1"/>
      <w:bookmarkEnd w:id="1"/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 SUE-AN VAN DER ZIJPP, MARK WILSON, SARAH SCHLEUNING. IRIS VAN HERPEN Transforming Fashion. </w:t>
      </w: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High Museum of Art and Groninger Museum, </w:t>
      </w: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2015.</w:t>
      </w:r>
    </w:p>
    <w:p w:rsidR="00000000" w:rsidDel="00000000" w:rsidP="00000000" w:rsidRDefault="00000000" w:rsidRPr="00000000" w14:paraId="00000109">
      <w:pPr>
        <w:pStyle w:val="Heading1"/>
        <w:keepNext w:val="0"/>
        <w:keepLines w:val="0"/>
        <w:widowControl w:val="0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308.5714285714286" w:lineRule="auto"/>
        <w:ind w:left="720" w:hanging="360"/>
        <w:rPr>
          <w:color w:val="000000"/>
          <w:sz w:val="20"/>
          <w:szCs w:val="20"/>
        </w:rPr>
      </w:pPr>
      <w:bookmarkStart w:colFirst="0" w:colLast="0" w:name="_heading=h.gu02n0o0ys40" w:id="2"/>
      <w:bookmarkEnd w:id="2"/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Andrew Bolton. Manus x Machina: Fashion in an Age of Technology. </w:t>
      </w: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Metropolitan Museum of Art, </w:t>
      </w: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Style w:val="Heading1"/>
        <w:keepNext w:val="0"/>
        <w:keepLines w:val="0"/>
        <w:widowControl w:val="0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308.5714285714286" w:lineRule="auto"/>
        <w:ind w:left="720" w:hanging="360"/>
        <w:rPr>
          <w:color w:val="000000"/>
          <w:sz w:val="20"/>
          <w:szCs w:val="20"/>
        </w:rPr>
      </w:pPr>
      <w:bookmarkStart w:colFirst="0" w:colLast="0" w:name="_heading=h.ttjfgdu7agk3" w:id="3"/>
      <w:bookmarkEnd w:id="3"/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Sarah Kettley. Designing with Smart Textiles. </w:t>
      </w: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Fairchild Books 2016.</w:t>
      </w:r>
    </w:p>
    <w:p w:rsidR="00000000" w:rsidDel="00000000" w:rsidP="00000000" w:rsidRDefault="00000000" w:rsidRPr="00000000" w14:paraId="0000010B">
      <w:pPr>
        <w:pStyle w:val="Heading1"/>
        <w:keepNext w:val="0"/>
        <w:keepLines w:val="0"/>
        <w:widowControl w:val="0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308.5714285714286" w:lineRule="auto"/>
        <w:ind w:left="720" w:hanging="360"/>
        <w:rPr>
          <w:color w:val="000000"/>
          <w:sz w:val="20"/>
          <w:szCs w:val="20"/>
        </w:rPr>
      </w:pPr>
      <w:bookmarkStart w:colFirst="0" w:colLast="0" w:name="_heading=h.pxfheolg82jn" w:id="4"/>
      <w:bookmarkEnd w:id="4"/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Fiell, Charlotte &amp; Peter. DIGITAL LUXURY: Transforming Brands and Consumer Experiences. SAGE Publications Ltd, 2019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18" w:top="1418" w:left="1418" w:right="1418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8820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Editado el 16/4/20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8820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Editado el </w:t>
    </w:r>
    <w:r w:rsidDel="00000000" w:rsidR="00000000" w:rsidRPr="00000000">
      <w:rPr>
        <w:sz w:val="16"/>
        <w:szCs w:val="16"/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sz w:val="16"/>
        <w:szCs w:val="16"/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/2</w:t>
    </w:r>
    <w:r w:rsidDel="00000000" w:rsidR="00000000" w:rsidRPr="00000000">
      <w:rPr>
        <w:sz w:val="16"/>
        <w:szCs w:val="16"/>
        <w:rtl w:val="0"/>
      </w:rPr>
      <w:t xml:space="preserve">3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116">
    <w:pPr>
      <w:pageBreakBefore w:val="0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</wp:posOffset>
          </wp:positionH>
          <wp:positionV relativeFrom="paragraph">
            <wp:posOffset>66675</wp:posOffset>
          </wp:positionV>
          <wp:extent cx="1371600" cy="459105"/>
          <wp:effectExtent b="0" l="0" r="0" t="0"/>
          <wp:wrapSquare wrapText="bothSides" distB="0" distT="0" distL="114300" distR="114300"/>
          <wp:docPr descr="logo UDD Facultad Diseño" id="11" name="image1.jpg"/>
          <a:graphic>
            <a:graphicData uri="http://schemas.openxmlformats.org/drawingml/2006/picture">
              <pic:pic>
                <pic:nvPicPr>
                  <pic:cNvPr descr="logo UDD Facultad Diseñ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459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Programa Orientado por Competencias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</wp:posOffset>
          </wp:positionH>
          <wp:positionV relativeFrom="paragraph">
            <wp:posOffset>68580</wp:posOffset>
          </wp:positionV>
          <wp:extent cx="1143000" cy="382270"/>
          <wp:effectExtent b="0" l="0" r="0" t="0"/>
          <wp:wrapSquare wrapText="bothSides" distB="0" distT="0" distL="114300" distR="114300"/>
          <wp:docPr descr="logo UDD Facultad Diseño" id="12" name="image1.jpg"/>
          <a:graphic>
            <a:graphicData uri="http://schemas.openxmlformats.org/drawingml/2006/picture">
              <pic:pic>
                <pic:nvPicPr>
                  <pic:cNvPr descr="logo UDD Facultad Diseñ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3822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76" w:lineRule="auto"/>
      <w:ind w:left="0" w:right="0" w:firstLine="0"/>
      <w:jc w:val="right"/>
      <w:rPr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TALLER </w:t>
    </w:r>
    <w:r w:rsidDel="00000000" w:rsidR="00000000" w:rsidRPr="00000000">
      <w:rPr>
        <w:sz w:val="16"/>
        <w:szCs w:val="16"/>
        <w:rtl w:val="0"/>
      </w:rPr>
      <w:t xml:space="preserve">DE MODA Y GESTIÓN V</w:t>
    </w:r>
  </w:p>
  <w:p w:rsidR="00000000" w:rsidDel="00000000" w:rsidP="00000000" w:rsidRDefault="00000000" w:rsidRPr="00000000" w14:paraId="000001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Orientado por Competencias </w:t>
    </w:r>
  </w:p>
  <w:p w:rsidR="00000000" w:rsidDel="00000000" w:rsidP="00000000" w:rsidRDefault="00000000" w:rsidRPr="00000000" w14:paraId="000001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pBdr>
        <w:bottom w:color="4f81bd" w:space="4" w:sz="8" w:val="single"/>
      </w:pBdr>
      <w:spacing w:after="300" w:line="400" w:lineRule="auto"/>
      <w:jc w:val="center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400" w:lineRule="auto"/>
      <w:jc w:val="center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400" w:lineRule="auto"/>
      <w:jc w:val="center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400" w:lineRule="auto"/>
      <w:jc w:val="center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400" w:lineRule="auto"/>
      <w:jc w:val="center"/>
    </w:pPr>
    <w:rPr>
      <w:sz w:val="52"/>
      <w:szCs w:val="52"/>
    </w:rPr>
  </w:style>
  <w:style w:type="paragraph" w:styleId="Normal" w:default="1">
    <w:name w:val="Normal"/>
    <w:qFormat w:val="1"/>
    <w:rsid w:val="00207F1E"/>
    <w:pPr>
      <w:spacing w:line="276" w:lineRule="auto"/>
    </w:pPr>
    <w:rPr>
      <w:rFonts w:ascii="Calibri" w:hAnsi="Calibri"/>
      <w:sz w:val="22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924469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924469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Competencias" w:customStyle="1">
    <w:name w:val="Competencias"/>
    <w:basedOn w:val="Normal"/>
    <w:qFormat w:val="1"/>
    <w:rsid w:val="00207F1E"/>
    <w:pPr>
      <w:spacing w:line="180" w:lineRule="exact"/>
    </w:pPr>
    <w:rPr>
      <w:rFonts w:cs="Times New Roman" w:eastAsia="Times New Roman"/>
      <w:sz w:val="16"/>
      <w:szCs w:val="16"/>
    </w:rPr>
  </w:style>
  <w:style w:type="paragraph" w:styleId="Competencias-X" w:customStyle="1">
    <w:name w:val="Competencias - X"/>
    <w:basedOn w:val="Competencias"/>
    <w:qFormat w:val="1"/>
    <w:rsid w:val="00207F1E"/>
    <w:pPr>
      <w:jc w:val="right"/>
    </w:pPr>
    <w:rPr>
      <w:b w:val="1"/>
      <w:sz w:val="24"/>
      <w:szCs w:val="24"/>
    </w:rPr>
  </w:style>
  <w:style w:type="character" w:styleId="Ttulo1Car" w:customStyle="1">
    <w:name w:val="Título 1 Car"/>
    <w:basedOn w:val="Fuentedeprrafopredeter"/>
    <w:link w:val="Ttulo1"/>
    <w:uiPriority w:val="9"/>
    <w:rsid w:val="00924469"/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  <w:lang w:val="es-ES_tradnl"/>
    </w:rPr>
  </w:style>
  <w:style w:type="character" w:styleId="Ttulo2Car" w:customStyle="1">
    <w:name w:val="Título 2 Car"/>
    <w:basedOn w:val="Fuentedeprrafopredeter"/>
    <w:link w:val="Ttulo2"/>
    <w:uiPriority w:val="9"/>
    <w:rsid w:val="00924469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val="es-ES_tradnl"/>
    </w:rPr>
  </w:style>
  <w:style w:type="paragraph" w:styleId="Ttulo">
    <w:name w:val="Title"/>
    <w:basedOn w:val="Normal"/>
    <w:next w:val="Normal"/>
    <w:link w:val="TtuloCar"/>
    <w:qFormat w:val="1"/>
    <w:rsid w:val="00924469"/>
    <w:pPr>
      <w:pBdr>
        <w:bottom w:color="4f81bd" w:space="4" w:sz="8" w:themeColor="accent1" w:val="single"/>
      </w:pBdr>
      <w:spacing w:after="300" w:line="400" w:lineRule="exact"/>
      <w:contextualSpacing w:val="1"/>
      <w:jc w:val="center"/>
    </w:pPr>
    <w:rPr>
      <w:rFonts w:cstheme="majorBidi" w:eastAsiaTheme="majorEastAsia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rsid w:val="00924469"/>
    <w:rPr>
      <w:rFonts w:ascii="Calibri" w:hAnsi="Calibri" w:cstheme="majorBidi" w:eastAsiaTheme="majorEastAsia"/>
      <w:spacing w:val="5"/>
      <w:kern w:val="28"/>
      <w:sz w:val="52"/>
      <w:szCs w:val="52"/>
      <w:lang w:val="es-ES_tradnl"/>
    </w:rPr>
  </w:style>
  <w:style w:type="paragraph" w:styleId="Piedepgina">
    <w:name w:val="footer"/>
    <w:basedOn w:val="Normal"/>
    <w:link w:val="PiedepginaCar"/>
    <w:rsid w:val="00924469"/>
    <w:pPr>
      <w:tabs>
        <w:tab w:val="center" w:pos="4252"/>
        <w:tab w:val="right" w:pos="8504"/>
      </w:tabs>
    </w:pPr>
    <w:rPr>
      <w:rFonts w:ascii="Tahoma" w:cs="Times New Roman" w:eastAsia="Times New Roman" w:hAnsi="Tahoma"/>
      <w:sz w:val="20"/>
      <w:lang w:val="es-ES"/>
    </w:rPr>
  </w:style>
  <w:style w:type="character" w:styleId="PiedepginaCar" w:customStyle="1">
    <w:name w:val="Pie de página Car"/>
    <w:basedOn w:val="Fuentedeprrafopredeter"/>
    <w:link w:val="Piedepgina"/>
    <w:rsid w:val="00924469"/>
    <w:rPr>
      <w:rFonts w:ascii="Tahoma" w:cs="Times New Roman" w:eastAsia="Times New Roman" w:hAnsi="Tahoma"/>
      <w:sz w:val="20"/>
      <w:lang w:val="es-ES"/>
    </w:rPr>
  </w:style>
  <w:style w:type="character" w:styleId="Nmerodepgina">
    <w:name w:val="page number"/>
    <w:basedOn w:val="Fuentedeprrafopredeter"/>
    <w:rsid w:val="00924469"/>
  </w:style>
  <w:style w:type="paragraph" w:styleId="Prrafodelista">
    <w:name w:val="List Paragraph"/>
    <w:basedOn w:val="Normal"/>
    <w:uiPriority w:val="34"/>
    <w:qFormat w:val="1"/>
    <w:rsid w:val="00924469"/>
    <w:pPr>
      <w:ind w:left="720"/>
      <w:contextualSpacing w:val="1"/>
      <w:jc w:val="both"/>
    </w:pPr>
    <w:rPr>
      <w:rFonts w:ascii="Arial" w:cs="Arial" w:eastAsia="Calibri" w:hAnsi="Arial"/>
      <w:lang w:eastAsia="en-US" w:val="en-US"/>
    </w:rPr>
  </w:style>
  <w:style w:type="paragraph" w:styleId="Encabezado">
    <w:name w:val="header"/>
    <w:basedOn w:val="Normal"/>
    <w:link w:val="EncabezadoCar"/>
    <w:uiPriority w:val="99"/>
    <w:unhideWhenUsed w:val="1"/>
    <w:rsid w:val="0092446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24469"/>
    <w:rPr>
      <w:rFonts w:ascii="Calibri" w:hAnsi="Calibri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97956"/>
    <w:pPr>
      <w:spacing w:line="240" w:lineRule="auto"/>
    </w:pPr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97956"/>
    <w:rPr>
      <w:rFonts w:ascii="Lucida Grande" w:cs="Lucida Grande" w:hAnsi="Lucida Grande"/>
      <w:sz w:val="18"/>
      <w:szCs w:val="18"/>
      <w:lang w:val="es-ES_tradnl"/>
    </w:rPr>
  </w:style>
  <w:style w:type="character" w:styleId="Hipervnculo">
    <w:name w:val="Hyperlink"/>
    <w:uiPriority w:val="99"/>
    <w:unhideWhenUsed w:val="1"/>
    <w:rsid w:val="00E8122F"/>
    <w:rPr>
      <w:color w:val="0000ff"/>
      <w:u w:val="single"/>
    </w:rPr>
  </w:style>
  <w:style w:type="character" w:styleId="resultssummary" w:customStyle="1">
    <w:name w:val="results_summary"/>
    <w:rsid w:val="00E8122F"/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483AA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835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835DEA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835DEA"/>
    <w:rPr>
      <w:rFonts w:ascii="Calibri" w:hAnsi="Calibri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835DEA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835DEA"/>
    <w:rPr>
      <w:rFonts w:ascii="Calibri" w:hAnsi="Calibri"/>
      <w:b w:val="1"/>
      <w:bCs w:val="1"/>
      <w:sz w:val="20"/>
      <w:szCs w:val="20"/>
      <w:lang w:val="es-ES_tradn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hyperlink" Target="https://www.amazon.com/-/es/s/ref=dp_byline_sr_book_1?ie=UTF8&amp;field-author=Aneta+Genova&amp;text=Aneta+Genova&amp;sort=relevancerank&amp;search-alias=books" TargetMode="Externa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kzxGWB9Mz15k/trrf0JZmzi+iA==">AMUW2mUha8M9mq7Z5JVzB1LXSaRKGJIhWcu4pK9pNrLR5z1d4L1do9h0tO+JeDD9mT1JfHeFQJchKF7JPQQRpxyAwkFCFCOWXh2fsIwtz4bhUSJB7q20M2/YcZ9PwxWDOJRNvRjgUuPFQ0mtLzrEFUD0KOIUICJFaNIpRwg9Qktx+gqyY+gFyA8nxnpkYNe+ldQcLV/jf0NMuTJZg/4346kUiab8eGx1zg==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2020-04-18T20:20:00Z</dcterms:created>
  <dc:creator>S.M.</dc:creator>
</cp:coreProperties>
</file>